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often explain substantial variation in herbivory.</w:t>
      </w:r>
      <w:r>
        <w:t xml:space="preserve"> </w:t>
      </w:r>
      <w:r>
        <w:t xml:space="preserve">Although plant genes involved in physical and chemical defense are well studied, less is known about the genetic basis underlying effects of plant growth traits on herbivory.</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than a wild type under laboratory condition.</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 These findings suggest the potential role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[1–4]</w:t>
      </w:r>
      <w:r>
        <w:t xml:space="preserve">, plant life-history traits also account for herbivory variation in field environments</w:t>
      </w:r>
      <w:r>
        <w:t xml:space="preserve"> </w:t>
      </w:r>
      <w:r>
        <w:t xml:space="preserve">[3,5,6]</w:t>
      </w:r>
      <w:r>
        <w:t xml:space="preserve">.</w:t>
      </w:r>
      <w:r>
        <w:t xml:space="preserve"> </w:t>
      </w:r>
      <w:r>
        <w:t xml:space="preserve">For example, phenological changes (e.g., early flowering) can allow plants to escape from seasonal herbivory</w:t>
      </w:r>
      <w:r>
        <w:t xml:space="preserve"> </w:t>
      </w:r>
      <w:r>
        <w:t xml:space="preserve">[7,8]</w:t>
      </w:r>
      <w:r>
        <w:t xml:space="preserve">.</w:t>
      </w:r>
      <w:r>
        <w:t xml:space="preserve"> </w:t>
      </w:r>
      <w:r>
        <w:t xml:space="preserve">The visibility of plants for herbivores, namely plant apparency</w:t>
      </w:r>
      <w:r>
        <w:t xml:space="preserve"> </w:t>
      </w:r>
      <w:r>
        <w:t xml:space="preserve">[9]</w:t>
      </w:r>
      <w:r>
        <w:t xml:space="preserve">, also changes across plant ontogeny (e.g., from vegetative to reproductive phase), which alters the risk of herbivore attacks</w:t>
      </w:r>
      <w:r>
        <w:t xml:space="preserve"> </w:t>
      </w:r>
      <w:r>
        <w:t xml:space="preserve">[6,10]</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[4,11,12]</w:t>
      </w:r>
      <w:r>
        <w:t xml:space="preserve">.</w:t>
      </w:r>
      <w:r>
        <w:t xml:space="preserve"> </w:t>
      </w:r>
      <w:r>
        <w:t xml:space="preserve">Yet, less is known about genetic bases underlying the effects of the plant life-history traits on herbivory.</w:t>
      </w:r>
    </w:p>
    <w:p>
      <w:pPr>
        <w:pStyle w:val="BodyText"/>
      </w:pPr>
      <w:r>
        <w:t xml:space="preserve">Genome-wide association study (GWAS) is an effective way to dissect the genetic architecture of ecologically important traits</w:t>
      </w:r>
      <w:r>
        <w:t xml:space="preserve"> </w:t>
      </w:r>
      <w:r>
        <w:t xml:space="preserve">[13,14]</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[15,16]</w:t>
      </w:r>
      <w:r>
        <w:t xml:space="preserve">.</w:t>
      </w:r>
      <w:r>
        <w:t xml:space="preserve"> </w:t>
      </w:r>
      <w:r>
        <w:t xml:space="preserve">Recent studies have suggested that controlled laboratory conditions are unlikely to reflect outdoor environments where interspecific interactions typically occur</w:t>
      </w:r>
      <w:r>
        <w:t xml:space="preserve"> </w:t>
      </w:r>
      <w:r>
        <w:t xml:space="preserve">[17,18]</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[19–23]</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[23–25]</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[4,26]</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[27]</w:t>
      </w:r>
      <w:r>
        <w:t xml:space="preserve">.</w:t>
      </w:r>
      <w:r>
        <w:t xml:space="preserve"> </w:t>
      </w:r>
      <w:r>
        <w:t xml:space="preserve">Because aphids often suck phloem sap from leaf veins and flowering stems, we hypothesized that plant life-history traits may play a key role in mediating aphid herbivory under field conditions.</w:t>
      </w:r>
    </w:p>
    <w:p>
      <w:pPr>
        <w:pStyle w:val="BodyText"/>
      </w:pPr>
      <w:r>
        <w:t xml:space="preserve">To reveal the genetic architecture of aphid herbivory,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[28]</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[29]</w:t>
      </w:r>
      <w:r>
        <w:t xml:space="preserve"> </w:t>
      </w:r>
      <w:r>
        <w:t xml:space="preserve">and 1001 Genomes</w:t>
      </w:r>
      <w:r>
        <w:t xml:space="preserve"> </w:t>
      </w:r>
      <w:r>
        <w:t xml:space="preserve">[30]</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[31]</w:t>
      </w:r>
      <w:r>
        <w:t xml:space="preserve">.</w:t>
      </w:r>
      <w:r>
        <w:t xml:space="preserve"> </w:t>
      </w:r>
      <w:r>
        <w:t xml:space="preserve">The target phenotype was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imputed full-sequence dataset</w:t>
      </w:r>
      <w:r>
        <w:t xml:space="preserve"> </w:t>
      </w:r>
      <w:r>
        <w:t xml:space="preserve">[31]</w:t>
      </w:r>
      <w:r>
        <w:t xml:space="preserve"> </w:t>
      </w:r>
      <w:r>
        <w:t xml:space="preserve">was used as SNP data for the 196 accessions.</w:t>
      </w:r>
      <w:r>
        <w:t xml:space="preserve"> </w:t>
      </w:r>
      <w:r>
        <w:t xml:space="preserve">Pseudo-heritability</w:t>
      </w:r>
      <w:r>
        <w:t xml:space="preserve"> </w:t>
      </w:r>
      <m:oMath>
        <m:sSup>
          <m:e>
            <m:r>
              <m:t>h</m:t>
            </m:r>
          </m:e>
          <m:sup>
            <m:r>
              <m:t>2</m:t>
            </m:r>
          </m:sup>
        </m:sSup>
      </m:oMath>
      <w:r>
        <w:t xml:space="preserve"> </w:t>
      </w:r>
      <w:r>
        <w:t xml:space="preserve">[31]</w:t>
      </w:r>
      <w:r>
        <w:t xml:space="preserve"> </w:t>
      </w:r>
      <w:r>
        <w:t xml:space="preserve">was calculated for the target phenotype before association mapping.</w:t>
      </w:r>
      <w:r>
        <w:t xml:space="preserve"> </w:t>
      </w:r>
      <w:r>
        <w:t xml:space="preserve">Accelerated mixed models</w:t>
      </w:r>
      <w:r>
        <w:t xml:space="preserve"> </w:t>
      </w:r>
      <w:r>
        <w:t xml:space="preserve">[31]</w:t>
      </w:r>
      <w:r>
        <w:t xml:space="preserve"> </w:t>
      </w:r>
      <w:r>
        <w:t xml:space="preserve">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[32]</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r>
        <w:t xml:space="preserve"> </w:t>
      </w:r>
      <w:r>
        <w:t xml:space="preserve">Following the instruction</w:t>
      </w:r>
      <w:r>
        <w:t xml:space="preserve"> </w:t>
      </w:r>
      <w:r>
        <w:t xml:space="preserve">[33]</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The insertion was not found in the other three lines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[34]</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Analysis of deviance with</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All statistical analyses were performed using R version 4.0.3</w:t>
      </w:r>
      <w:r>
        <w:t xml:space="preserve"> </w:t>
      </w:r>
      <w:r>
        <w:t xml:space="preserve">[35]</w:t>
      </w:r>
      <w:r>
        <w:t xml:space="preserve">.</w:t>
      </w:r>
      <w:r>
        <w:t xml:space="preserve"> </w:t>
      </w:r>
      <w:r>
        <w:t xml:space="preserve">For LMM and GLMM, we used the lmer and glmer function implemented in the lme4 package</w:t>
      </w:r>
      <w:r>
        <w:t xml:space="preserve"> </w:t>
      </w:r>
      <w:r>
        <w:t xml:space="preserve">[36]</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[37]</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[32]</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[32]</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the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p>
    <w:bookmarkEnd w:id="38"/>
    <w:bookmarkEnd w:id="39"/>
    <w:bookmarkStart w:id="40" w:name="discussion"/>
    <w:p>
      <w:pPr>
        <w:pStyle w:val="Heading1"/>
      </w:pPr>
      <w:r>
        <w:t xml:space="preserve">Discussion</w:t>
      </w:r>
    </w:p>
    <w:p>
      <w:pPr>
        <w:pStyle w:val="FirstParagraph"/>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[38]</w:t>
      </w:r>
      <w:r>
        <w:t xml:space="preserve">, reduced root length</w:t>
      </w:r>
      <w:r>
        <w:t xml:space="preserve"> </w:t>
      </w:r>
      <w:r>
        <w:t xml:space="preserve">[39]</w:t>
      </w:r>
      <w:r>
        <w:t xml:space="preserve">, and the reduction of pollen number</w:t>
      </w:r>
      <w:r>
        <w:t xml:space="preserve"> </w:t>
      </w:r>
      <w:r>
        <w:t xml:space="preserve">[16,40]</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[16,40]</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[16]</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[16,40]</w:t>
      </w:r>
      <w:r>
        <w:t xml:space="preserve">, will be needed to identify natural causal variants that alter aphid abundance through delayed growth.</w:t>
      </w:r>
    </w:p>
    <w:p>
      <w:pPr>
        <w:pStyle w:val="BodyText"/>
      </w:pPr>
      <w:r>
        <w:t xml:space="preserve">Overall, our study suggests the importance of plant life-history traits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[14]</w:t>
      </w:r>
      <w:r>
        <w:t xml:space="preserve">.</w:t>
      </w:r>
      <w:r>
        <w:t xml:space="preserve"> </w:t>
      </w:r>
      <w:r>
        <w:t xml:space="preserve">These lines of studies suggest that plant genetic variation governs herbivore abundance and communities</w:t>
      </w:r>
      <w:r>
        <w:t xml:space="preserve"> </w:t>
      </w:r>
      <w:r>
        <w:t xml:space="preserve">[4,11,12,14]</w:t>
      </w:r>
      <w:r>
        <w:t xml:space="preserve">, but a keystone gene shaping the ecological communities was not identified until recently</w:t>
      </w:r>
      <w:r>
        <w:t xml:space="preserve"> </w:t>
      </w:r>
      <w:r>
        <w:t xml:space="preserve">[34]</w:t>
      </w:r>
      <w:r>
        <w:t xml:space="preserve">.</w:t>
      </w:r>
      <w:r>
        <w:t xml:space="preserve"> </w:t>
      </w:r>
      <w:r>
        <w:t xml:space="preserve">Barbour et al.</w:t>
      </w:r>
      <w:r>
        <w:t xml:space="preserve"> </w:t>
      </w:r>
      <w:r>
        <w:t xml:space="preserve">[34]</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[41,42]</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(molecular), project administration, review and editing; M.A.B: resources (insects),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M. Brasser and R. Hostettler for their assistance with the molecular experiments; and L. Mohn, K.K. Thomsen, and all members of Shimizu group for their help with the establishment of field plots.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near the top-scoring SNP at Chr3-4579292 displays the position of candidate genes. Red colors highlight genes within 5 kbp from the focal SNP. Decimal numbers after the AGI code (e.g., ATxGxxxxx.y) represent splice variants of a single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near the top-scoring SNP at Chr3-4579292 displays the position of candidate genes. Red colors highlight genes within 5 kbp from the focal SNP. Decimal numbers after the AGI code (e.g., ATxGxxxxx.y) represent splice variants of a single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circC; 35 cycles of 15 s at 95^\circC, 30 s at 55^\circC, 1.5 min at 72^\circC; and a final extension step of 3 min at 72^\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circC; 28 cycles of 15 s at 95^\circC, 30 s at 55^\circC, 1 min at 72^\circC; and a final extension step of 5 min at 72^\circC. A gel electrophoresis was performed using a 1% agarose with 120 V for 60 min. The PCR products were finally visualized a UV trans-illuminator system.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 A gel electrophoresis was performed using a 1% agarose with 120 V for 60 min. The PCR products were finally visualized a UV trans-illuminator system.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association score of -log10(p). A red solid line indicates randomly expected association scores abd the shaded area corresponds to its 95% confidence intervals. This figure shows that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A red solid line indicates randomly expected association scores abd the shaded area corresponds to its 95% confidence intervals. This figure shows that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25" w:name="references"/>
    <w:p>
      <w:pPr>
        <w:pStyle w:val="Heading1"/>
      </w:pPr>
      <w:r>
        <w:t xml:space="preserve">References</w:t>
      </w:r>
    </w:p>
    <w:bookmarkStart w:id="124"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79"/>
    <w:bookmarkStart w:id="80"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0"/>
    <w:bookmarkStart w:id="81"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2"/>
    <w:bookmarkStart w:id="83"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3"/>
    <w:bookmarkStart w:id="84" w:name="ref-kawagoe2010escape"/>
    <w:p>
      <w:pPr>
        <w:pStyle w:val="Bibliography"/>
      </w:pPr>
      <w:r>
        <w:t xml:space="preserve">7.</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4"/>
    <w:bookmarkStart w:id="85" w:name="ref-marquis2021escape"/>
    <w:p>
      <w:pPr>
        <w:pStyle w:val="Bibliography"/>
      </w:pPr>
      <w:r>
        <w:t xml:space="preserve">8.</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5"/>
    <w:bookmarkStart w:id="87"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6">
        <w:r>
          <w:rPr>
            <w:rStyle w:val="Hyperlink"/>
          </w:rPr>
          <w:t xml:space="preserve">10.1007/978-1-4684-2646-5_1</w:t>
        </w:r>
      </w:hyperlink>
      <w:r>
        <w:t xml:space="preserve">)</w:t>
      </w:r>
    </w:p>
    <w:bookmarkEnd w:id="87"/>
    <w:bookmarkStart w:id="88" w:name="ref-zverev2017ontogenetic"/>
    <w:p>
      <w:pPr>
        <w:pStyle w:val="Bibliography"/>
      </w:pPr>
      <w:r>
        <w:t xml:space="preserve">10.</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8"/>
    <w:bookmarkStart w:id="89" w:name="ref-johnson2009heritability"/>
    <w:p>
      <w:pPr>
        <w:pStyle w:val="Bibliography"/>
      </w:pPr>
      <w:r>
        <w:t xml:space="preserve">11.</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9"/>
    <w:bookmarkStart w:id="90" w:name="ref-barbour2015multiple"/>
    <w:p>
      <w:pPr>
        <w:pStyle w:val="Bibliography"/>
      </w:pPr>
      <w:r>
        <w:t xml:space="preserve">12.</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0"/>
    <w:bookmarkStart w:id="91"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1"/>
    <w:bookmarkStart w:id="92" w:name="ref-barker2019linking"/>
    <w:p>
      <w:pPr>
        <w:pStyle w:val="Bibliography"/>
      </w:pPr>
      <w:r>
        <w:t xml:space="preserve">14.</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2"/>
    <w:bookmarkStart w:id="93" w:name="ref-fujii2019stigmatic"/>
    <w:p>
      <w:pPr>
        <w:pStyle w:val="Bibliography"/>
      </w:pPr>
      <w:r>
        <w:t xml:space="preserve">15.</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3"/>
    <w:bookmarkStart w:id="94" w:name="ref-tsuchimatsu2020adaptive"/>
    <w:p>
      <w:pPr>
        <w:pStyle w:val="Bibliography"/>
      </w:pPr>
      <w:r>
        <w:t xml:space="preserve">16.</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4"/>
    <w:bookmarkStart w:id="95" w:name="ref-honjo2020seasonality"/>
    <w:p>
      <w:pPr>
        <w:pStyle w:val="Bibliography"/>
      </w:pPr>
      <w:r>
        <w:t xml:space="preserve">17.</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5"/>
    <w:bookmarkStart w:id="96" w:name="ref-sato2019transcriptional"/>
    <w:p>
      <w:pPr>
        <w:pStyle w:val="Bibliography"/>
      </w:pPr>
      <w:r>
        <w:t xml:space="preserve">18.</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6"/>
    <w:bookmarkStart w:id="97" w:name="ref-shimizu2011plant"/>
    <w:p>
      <w:pPr>
        <w:pStyle w:val="Bibliography"/>
      </w:pPr>
      <w:r>
        <w:t xml:space="preserve">19.</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7"/>
    <w:bookmarkStart w:id="98" w:name="ref-kudoh2016molecular"/>
    <w:p>
      <w:pPr>
        <w:pStyle w:val="Bibliography"/>
      </w:pPr>
      <w:r>
        <w:t xml:space="preserve">20.</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8"/>
    <w:bookmarkStart w:id="99" w:name="ref-yamasaki2017genomics"/>
    <w:p>
      <w:pPr>
        <w:pStyle w:val="Bibliography"/>
      </w:pPr>
      <w:r>
        <w:t xml:space="preserve">21.</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9"/>
    <w:bookmarkStart w:id="100" w:name="ref-zaidem2019evolutionary"/>
    <w:p>
      <w:pPr>
        <w:pStyle w:val="Bibliography"/>
      </w:pPr>
      <w:r>
        <w:t xml:space="preserve">22.</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0"/>
    <w:bookmarkStart w:id="102" w:name="ref-stockenhuber2021uv"/>
    <w:p>
      <w:pPr>
        <w:pStyle w:val="Bibliography"/>
      </w:pPr>
      <w:r>
        <w:t xml:space="preserve">23.</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1">
        <w:r>
          <w:rPr>
            <w:rStyle w:val="Hyperlink"/>
          </w:rPr>
          <w:t xml:space="preserve">10.1101/2021.12.08.471623</w:t>
        </w:r>
      </w:hyperlink>
      <w:r>
        <w:t xml:space="preserve">)</w:t>
      </w:r>
    </w:p>
    <w:bookmarkEnd w:id="102"/>
    <w:bookmarkStart w:id="103" w:name="ref-thompson1994spatiotemporal"/>
    <w:p>
      <w:pPr>
        <w:pStyle w:val="Bibliography"/>
      </w:pPr>
      <w:r>
        <w:t xml:space="preserve">24.</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3"/>
    <w:bookmarkStart w:id="104" w:name="ref-taylor2017interacting"/>
    <w:p>
      <w:pPr>
        <w:pStyle w:val="Bibliography"/>
      </w:pPr>
      <w:r>
        <w:t xml:space="preserve">25.</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4"/>
    <w:bookmarkStart w:id="105" w:name="ref-mosleh2009herbivory"/>
    <w:p>
      <w:pPr>
        <w:pStyle w:val="Bibliography"/>
      </w:pPr>
      <w:r>
        <w:t xml:space="preserve">26.</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5"/>
    <w:bookmarkStart w:id="106" w:name="ref-zust2012natural"/>
    <w:p>
      <w:pPr>
        <w:pStyle w:val="Bibliography"/>
      </w:pPr>
      <w:r>
        <w:t xml:space="preserve">27.</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6"/>
    <w:bookmarkStart w:id="107" w:name="ref-sato2021neighbor"/>
    <w:p>
      <w:pPr>
        <w:pStyle w:val="Bibliography"/>
      </w:pPr>
      <w:r>
        <w:t xml:space="preserve">28.</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7"/>
    <w:bookmarkStart w:id="108" w:name="ref-horton2012genome"/>
    <w:p>
      <w:pPr>
        <w:pStyle w:val="Bibliography"/>
      </w:pPr>
      <w:r>
        <w:t xml:space="preserve">29.</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8"/>
    <w:bookmarkStart w:id="109" w:name="ref-alonso20161"/>
    <w:p>
      <w:pPr>
        <w:pStyle w:val="Bibliography"/>
      </w:pPr>
      <w:r>
        <w:t xml:space="preserve">30.</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9"/>
    <w:bookmarkStart w:id="110" w:name="ref-seren2018gwa"/>
    <w:p>
      <w:pPr>
        <w:pStyle w:val="Bibliography"/>
      </w:pPr>
      <w:r>
        <w:t xml:space="preserve">31.</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0"/>
    <w:bookmarkStart w:id="111" w:name="ref-klepikova2016high"/>
    <w:p>
      <w:pPr>
        <w:pStyle w:val="Bibliography"/>
      </w:pPr>
      <w:r>
        <w:t xml:space="preserve">32.</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11"/>
    <w:bookmarkStart w:id="112" w:name="ref-o2015user"/>
    <w:p>
      <w:pPr>
        <w:pStyle w:val="Bibliography"/>
      </w:pPr>
      <w:r>
        <w:t xml:space="preserve">33.</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2"/>
    <w:bookmarkStart w:id="113" w:name="ref-barbour2022keystone"/>
    <w:p>
      <w:pPr>
        <w:pStyle w:val="Bibliography"/>
      </w:pPr>
      <w:r>
        <w:t xml:space="preserve">34.</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3"/>
    <w:bookmarkStart w:id="115" w:name="ref-Rcite"/>
    <w:p>
      <w:pPr>
        <w:pStyle w:val="Bibliography"/>
      </w:pPr>
      <w:r>
        <w:t xml:space="preserve">35.</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4">
        <w:r>
          <w:rPr>
            <w:rStyle w:val="Hyperlink"/>
          </w:rPr>
          <w:t xml:space="preserve">https://www.R-project.org/</w:t>
        </w:r>
      </w:hyperlink>
      <w:r>
        <w:t xml:space="preserve">.</w:t>
      </w:r>
    </w:p>
    <w:bookmarkEnd w:id="115"/>
    <w:bookmarkStart w:id="117" w:name="ref-lme4"/>
    <w:p>
      <w:pPr>
        <w:pStyle w:val="Bibliography"/>
      </w:pPr>
      <w:r>
        <w:t xml:space="preserve">36.</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16">
        <w:r>
          <w:rPr>
            <w:rStyle w:val="Hyperlink"/>
          </w:rPr>
          <w:t xml:space="preserve">10.18637/jss.v067.i01</w:t>
        </w:r>
      </w:hyperlink>
      <w:r>
        <w:t xml:space="preserve">)</w:t>
      </w:r>
    </w:p>
    <w:bookmarkEnd w:id="117"/>
    <w:bookmarkStart w:id="118" w:name="ref-cheng2017araport11"/>
    <w:p>
      <w:pPr>
        <w:pStyle w:val="Bibliography"/>
      </w:pPr>
      <w:r>
        <w:t xml:space="preserve">37.</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8"/>
    <w:bookmarkStart w:id="119" w:name="ref-fujikura2009coordination"/>
    <w:p>
      <w:pPr>
        <w:pStyle w:val="Bibliography"/>
      </w:pPr>
      <w:r>
        <w:t xml:space="preserve">38.</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9"/>
    <w:bookmarkStart w:id="120" w:name="ref-creff2010two"/>
    <w:p>
      <w:pPr>
        <w:pStyle w:val="Bibliography"/>
      </w:pPr>
      <w:r>
        <w:t xml:space="preserve">39.</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0"/>
    <w:bookmarkStart w:id="121" w:name="ref-kakui2022pollen"/>
    <w:p>
      <w:pPr>
        <w:pStyle w:val="Bibliography"/>
      </w:pPr>
      <w:r>
        <w:t xml:space="preserve">40.</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1"/>
    <w:bookmarkStart w:id="122" w:name="ref-dixon1977aphid"/>
    <w:p>
      <w:pPr>
        <w:pStyle w:val="Bibliography"/>
      </w:pPr>
      <w:r>
        <w:t xml:space="preserve">41.</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22"/>
    <w:bookmarkStart w:id="123" w:name="ref-snyder2003interactions"/>
    <w:p>
      <w:pPr>
        <w:pStyle w:val="Bibliography"/>
      </w:pPr>
      <w:r>
        <w:t xml:space="preserve">42.</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2022-11-01T17:28:22Z</dcterms:created>
  <dcterms:modified xsi:type="dcterms:W3CDTF">2022-11-01T17:28:22Z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